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5C9D" w14:textId="4B634766" w:rsidR="00E445E9" w:rsidRPr="00E445E9" w:rsidRDefault="00E445E9" w:rsidP="00E445E9">
      <w:pPr>
        <w:spacing w:after="200" w:line="240" w:lineRule="auto"/>
        <w:jc w:val="both"/>
        <w:rPr>
          <w:rFonts w:ascii="Times New Roman" w:eastAsia="Calibri" w:hAnsi="Times New Roman" w:cs="Times New Roman"/>
          <w:b/>
          <w:kern w:val="0"/>
          <w14:ligatures w14:val="none"/>
        </w:rPr>
      </w:pPr>
      <w:r w:rsidRPr="005F492E">
        <w:rPr>
          <w:rFonts w:ascii="Times New Roman" w:hAnsi="Times New Roman" w:cs="Times New Roman"/>
          <w:b/>
          <w:bCs/>
          <w:color w:val="000000"/>
          <w:sz w:val="24"/>
          <w:szCs w:val="24"/>
          <w:shd w:val="clear" w:color="auto" w:fill="FFFFFF"/>
        </w:rPr>
        <w:t xml:space="preserve">MIŠKININKYSTĖS STUDIJŲ KRYPTIES </w:t>
      </w:r>
      <w:r w:rsidRPr="00E445E9">
        <w:rPr>
          <w:rFonts w:ascii="Times New Roman" w:eastAsia="Calibri" w:hAnsi="Times New Roman" w:cs="Times New Roman"/>
          <w:b/>
          <w:kern w:val="0"/>
          <w14:ligatures w14:val="none"/>
        </w:rPr>
        <w:t>vertinimo ekspertų nurodytų rekomendacijų įgyvendinimas Kauno miškų ir aplinkos inžinerijos kolegijoje.</w:t>
      </w:r>
    </w:p>
    <w:p w14:paraId="33C725A1" w14:textId="77777777" w:rsidR="005F492E" w:rsidRPr="005F492E" w:rsidRDefault="005F492E" w:rsidP="005F492E">
      <w:pPr>
        <w:tabs>
          <w:tab w:val="left" w:pos="426"/>
        </w:tabs>
        <w:spacing w:after="0" w:line="240" w:lineRule="auto"/>
        <w:jc w:val="both"/>
        <w:rPr>
          <w:rFonts w:ascii="Times New Roman" w:eastAsia="Times New Roman" w:hAnsi="Times New Roman" w:cs="Times New Roman"/>
          <w:kern w:val="0"/>
          <w:sz w:val="24"/>
          <w:szCs w:val="24"/>
          <w:lang w:eastAsia="lt-LT"/>
          <w14:ligatures w14:val="none"/>
        </w:rPr>
      </w:pPr>
    </w:p>
    <w:tbl>
      <w:tblPr>
        <w:tblStyle w:val="Lentelstinklelis"/>
        <w:tblW w:w="5000" w:type="pct"/>
        <w:tblLook w:val="04A0" w:firstRow="1" w:lastRow="0" w:firstColumn="1" w:lastColumn="0" w:noHBand="0" w:noVBand="1"/>
      </w:tblPr>
      <w:tblGrid>
        <w:gridCol w:w="1403"/>
        <w:gridCol w:w="3933"/>
        <w:gridCol w:w="2147"/>
        <w:gridCol w:w="2145"/>
      </w:tblGrid>
      <w:tr w:rsidR="00E445E9" w:rsidRPr="005F492E" w14:paraId="60571A88" w14:textId="6475FFD2" w:rsidTr="00E445E9">
        <w:tc>
          <w:tcPr>
            <w:tcW w:w="728" w:type="pct"/>
            <w:shd w:val="clear" w:color="auto" w:fill="F2F2F2"/>
            <w:vAlign w:val="center"/>
          </w:tcPr>
          <w:p w14:paraId="22686794" w14:textId="77777777" w:rsidR="00E445E9" w:rsidRPr="005F492E" w:rsidRDefault="00E445E9" w:rsidP="005F492E">
            <w:pPr>
              <w:jc w:val="center"/>
              <w:rPr>
                <w:rFonts w:ascii="Times New Roman" w:hAnsi="Times New Roman"/>
                <w:b/>
                <w:bCs/>
                <w:lang w:val="lt-LT"/>
              </w:rPr>
            </w:pPr>
            <w:r w:rsidRPr="005F492E">
              <w:rPr>
                <w:rFonts w:ascii="Times New Roman" w:hAnsi="Times New Roman"/>
                <w:b/>
                <w:bCs/>
                <w:lang w:val="lt-LT"/>
              </w:rPr>
              <w:t>Vertinimo sritis</w:t>
            </w:r>
          </w:p>
        </w:tc>
        <w:tc>
          <w:tcPr>
            <w:tcW w:w="2042" w:type="pct"/>
            <w:shd w:val="clear" w:color="auto" w:fill="F2F2F2"/>
            <w:vAlign w:val="center"/>
          </w:tcPr>
          <w:p w14:paraId="1A5A62DF" w14:textId="77777777" w:rsidR="00E445E9" w:rsidRPr="005F492E" w:rsidRDefault="00E445E9" w:rsidP="005F492E">
            <w:pPr>
              <w:jc w:val="center"/>
              <w:rPr>
                <w:rFonts w:ascii="Times New Roman" w:hAnsi="Times New Roman"/>
                <w:b/>
                <w:bCs/>
                <w:lang w:val="lt-LT"/>
              </w:rPr>
            </w:pPr>
            <w:r w:rsidRPr="005F492E">
              <w:rPr>
                <w:rFonts w:ascii="Times New Roman" w:hAnsi="Times New Roman"/>
                <w:b/>
                <w:bCs/>
                <w:lang w:val="lt-LT"/>
              </w:rPr>
              <w:t>Rekomendacijos pagal vertinimo sritį (studijų ciklui)</w:t>
            </w:r>
          </w:p>
        </w:tc>
        <w:tc>
          <w:tcPr>
            <w:tcW w:w="1115" w:type="pct"/>
            <w:shd w:val="clear" w:color="auto" w:fill="F2F2F2"/>
            <w:vAlign w:val="center"/>
          </w:tcPr>
          <w:p w14:paraId="188FD124" w14:textId="77777777" w:rsidR="00E445E9" w:rsidRPr="005F492E" w:rsidRDefault="00E445E9" w:rsidP="005F492E">
            <w:pPr>
              <w:jc w:val="center"/>
              <w:rPr>
                <w:rFonts w:ascii="Times New Roman" w:hAnsi="Times New Roman"/>
                <w:b/>
                <w:bCs/>
                <w:lang w:val="lt-LT"/>
              </w:rPr>
            </w:pPr>
            <w:r w:rsidRPr="005F492E">
              <w:rPr>
                <w:rFonts w:ascii="Times New Roman" w:hAnsi="Times New Roman"/>
                <w:b/>
                <w:bCs/>
                <w:lang w:val="lt-LT"/>
              </w:rPr>
              <w:t>Kolegijos atlikti arba planuojami veiksmai</w:t>
            </w:r>
          </w:p>
        </w:tc>
        <w:tc>
          <w:tcPr>
            <w:tcW w:w="1114" w:type="pct"/>
            <w:vAlign w:val="center"/>
          </w:tcPr>
          <w:p w14:paraId="1DE40A2F" w14:textId="6430C44F" w:rsidR="00E445E9" w:rsidRPr="005F492E" w:rsidRDefault="00E445E9" w:rsidP="00E445E9">
            <w:pPr>
              <w:jc w:val="center"/>
              <w:rPr>
                <w:rFonts w:ascii="Times New Roman" w:hAnsi="Times New Roman"/>
                <w:b/>
                <w:bCs/>
              </w:rPr>
            </w:pPr>
            <w:r w:rsidRPr="00E7546A">
              <w:rPr>
                <w:rFonts w:ascii="Times New Roman" w:hAnsi="Times New Roman"/>
              </w:rPr>
              <w:t>Rekomendacijų įgyvendinimo terminai</w:t>
            </w:r>
          </w:p>
        </w:tc>
      </w:tr>
      <w:tr w:rsidR="00E445E9" w:rsidRPr="005F492E" w14:paraId="7A5D8F44" w14:textId="50678052" w:rsidTr="00E445E9">
        <w:tc>
          <w:tcPr>
            <w:tcW w:w="728" w:type="pct"/>
            <w:vAlign w:val="center"/>
          </w:tcPr>
          <w:p w14:paraId="08A1C60D" w14:textId="77777777" w:rsidR="00E445E9" w:rsidRPr="005F492E" w:rsidRDefault="00E445E9" w:rsidP="005F492E">
            <w:pPr>
              <w:rPr>
                <w:rFonts w:ascii="Times New Roman" w:hAnsi="Times New Roman"/>
                <w:lang w:val="lt-LT"/>
              </w:rPr>
            </w:pPr>
            <w:r w:rsidRPr="005F492E">
              <w:rPr>
                <w:rFonts w:ascii="Times New Roman" w:hAnsi="Times New Roman"/>
                <w:lang w:val="lt-LT"/>
              </w:rPr>
              <w:t>Numatyti ir pasiekti studijų rezultatai bei studijų programa</w:t>
            </w:r>
          </w:p>
        </w:tc>
        <w:tc>
          <w:tcPr>
            <w:tcW w:w="2042" w:type="pct"/>
            <w:vAlign w:val="center"/>
          </w:tcPr>
          <w:p w14:paraId="413790C0"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Miškų ūkio studijų programa (SP) veikia iš esmės gerai. Studijų planas apima platų bendrųjų ir specializuotų dalykų spektrą, o teorijos ir praktikos pusiausvyra yra tinkama, kad absolventai būtų pasirengę įvairioms profesinėms užduotims. Ekspertų grupė rekomenduoja stiprinti baigiamųjų darbų mokslinį pobūdį, tobulinti citavimo kultūrą ir plačiau naudoti tarptautinių mokslo žurnalų šaltinius.</w:t>
            </w:r>
          </w:p>
        </w:tc>
        <w:tc>
          <w:tcPr>
            <w:tcW w:w="1115" w:type="pct"/>
            <w:vAlign w:val="center"/>
          </w:tcPr>
          <w:p w14:paraId="0BB90027"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 xml:space="preserve">Atnaujinti Baigiamųjų darbų rengimo reikalavimai, </w:t>
            </w:r>
          </w:p>
          <w:p w14:paraId="534788F2"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patikslinti literatūros šaltinių citavimo reikalavimai.</w:t>
            </w:r>
          </w:p>
        </w:tc>
        <w:tc>
          <w:tcPr>
            <w:tcW w:w="1114" w:type="pct"/>
            <w:vAlign w:val="center"/>
          </w:tcPr>
          <w:p w14:paraId="2DB29C10" w14:textId="1D209D96" w:rsidR="00E445E9" w:rsidRPr="005F492E" w:rsidRDefault="00E445E9" w:rsidP="00E445E9">
            <w:pPr>
              <w:jc w:val="center"/>
              <w:rPr>
                <w:rFonts w:ascii="Times New Roman" w:hAnsi="Times New Roman"/>
              </w:rPr>
            </w:pPr>
            <w:r>
              <w:rPr>
                <w:rFonts w:ascii="Times New Roman" w:hAnsi="Times New Roman"/>
              </w:rPr>
              <w:t>2024 m.</w:t>
            </w:r>
          </w:p>
        </w:tc>
      </w:tr>
      <w:tr w:rsidR="00E445E9" w:rsidRPr="005F492E" w14:paraId="103349E4" w14:textId="3819D639" w:rsidTr="00E445E9">
        <w:tc>
          <w:tcPr>
            <w:tcW w:w="728" w:type="pct"/>
            <w:vAlign w:val="center"/>
          </w:tcPr>
          <w:p w14:paraId="724E1E5C" w14:textId="77777777" w:rsidR="00E445E9" w:rsidRPr="005F492E" w:rsidRDefault="00E445E9" w:rsidP="005F492E">
            <w:pPr>
              <w:rPr>
                <w:rFonts w:ascii="Times New Roman" w:hAnsi="Times New Roman"/>
                <w:lang w:val="lt-LT"/>
              </w:rPr>
            </w:pPr>
            <w:r w:rsidRPr="005F492E">
              <w:rPr>
                <w:rFonts w:ascii="Times New Roman" w:hAnsi="Times New Roman"/>
                <w:lang w:val="lt-LT"/>
              </w:rPr>
              <w:t>Mokslo (meno) ir studijų sąsajos</w:t>
            </w:r>
          </w:p>
        </w:tc>
        <w:tc>
          <w:tcPr>
            <w:tcW w:w="2042" w:type="pct"/>
            <w:vAlign w:val="center"/>
          </w:tcPr>
          <w:p w14:paraId="39EF9699"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Rekomenduojama stiprinti taikomųjų tyrimų mokslinius aspektus ir aktyviau įtraukti studentus į šią veiklą. Taip pat siūloma integruoti anglų kalbą kaip mokslo kalbą į KMAIK bendruomenę, įgyvendinant ilgalaikę programą dėstytojams ir studentams.</w:t>
            </w:r>
          </w:p>
        </w:tc>
        <w:tc>
          <w:tcPr>
            <w:tcW w:w="1115" w:type="pct"/>
            <w:vAlign w:val="center"/>
          </w:tcPr>
          <w:p w14:paraId="37714A11"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Dėstytojams rekomenduojama įtraukti studentus į vykdomus mokslinius projektus. Dėstytojams organizuojami anglų kalbos kursus, siekiant tobulinti mokslinės kalbos įgūdžius.</w:t>
            </w:r>
          </w:p>
        </w:tc>
        <w:tc>
          <w:tcPr>
            <w:tcW w:w="1114" w:type="pct"/>
            <w:vAlign w:val="center"/>
          </w:tcPr>
          <w:p w14:paraId="523C1C54" w14:textId="646FDA39" w:rsidR="00E445E9" w:rsidRPr="005F492E" w:rsidRDefault="00E445E9" w:rsidP="00E445E9">
            <w:pPr>
              <w:jc w:val="center"/>
              <w:rPr>
                <w:rFonts w:ascii="Times New Roman" w:hAnsi="Times New Roman"/>
              </w:rPr>
            </w:pPr>
            <w:r>
              <w:rPr>
                <w:rFonts w:ascii="Times New Roman" w:hAnsi="Times New Roman"/>
              </w:rPr>
              <w:t>Nuolatos</w:t>
            </w:r>
          </w:p>
        </w:tc>
      </w:tr>
      <w:tr w:rsidR="00E445E9" w:rsidRPr="005F492E" w14:paraId="0460BE44" w14:textId="67179143" w:rsidTr="00E445E9">
        <w:tc>
          <w:tcPr>
            <w:tcW w:w="728" w:type="pct"/>
            <w:vAlign w:val="center"/>
          </w:tcPr>
          <w:p w14:paraId="1AA66FE5" w14:textId="77777777" w:rsidR="00E445E9" w:rsidRPr="005F492E" w:rsidRDefault="00E445E9" w:rsidP="005F492E">
            <w:pPr>
              <w:rPr>
                <w:rFonts w:ascii="Times New Roman" w:hAnsi="Times New Roman"/>
                <w:lang w:val="lt-LT"/>
              </w:rPr>
            </w:pPr>
            <w:r w:rsidRPr="005F492E">
              <w:rPr>
                <w:rFonts w:ascii="Times New Roman" w:hAnsi="Times New Roman"/>
                <w:lang w:val="lt-LT"/>
              </w:rPr>
              <w:t>Studentų priėmimas ir parama</w:t>
            </w:r>
          </w:p>
        </w:tc>
        <w:tc>
          <w:tcPr>
            <w:tcW w:w="2042" w:type="pct"/>
            <w:vAlign w:val="center"/>
          </w:tcPr>
          <w:p w14:paraId="7E1F6347"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Studentų priėmimas ir parama vykdoma pagal nustatytas tvarkas ir atitinka reikalavimus. Tarptautinis studentų mobilumas yra gana žemas. Vertintojų komanda rekomenduoja kolegijai aktyviau skatinti studentus pasinaudoti mobilumo galimybėmis. Be to, KMAIK nesiūlo miškininkystės studijų kursų anglų kalba, o tai riboja galimybes priimti tarptautinius studentus.</w:t>
            </w:r>
          </w:p>
        </w:tc>
        <w:tc>
          <w:tcPr>
            <w:tcW w:w="1115" w:type="pct"/>
            <w:vAlign w:val="center"/>
          </w:tcPr>
          <w:p w14:paraId="153098C0"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Sudarytos patrauklios sąlygos studentams dalyvauti Erasmus+ studijų ir praktikų mobilumo programose. Aktyviai ieškoma galimybių priimti studijuoti užsienio šalių studentus. Parengta dėstomų dalykų mokomoji medžiaga anglų kalba.</w:t>
            </w:r>
          </w:p>
        </w:tc>
        <w:tc>
          <w:tcPr>
            <w:tcW w:w="1114" w:type="pct"/>
            <w:vAlign w:val="center"/>
          </w:tcPr>
          <w:p w14:paraId="0E2CB3E0" w14:textId="17FA2493" w:rsidR="00E445E9" w:rsidRPr="005F492E" w:rsidRDefault="00E445E9" w:rsidP="00E445E9">
            <w:pPr>
              <w:jc w:val="center"/>
              <w:rPr>
                <w:rFonts w:ascii="Times New Roman" w:hAnsi="Times New Roman"/>
              </w:rPr>
            </w:pPr>
            <w:r>
              <w:rPr>
                <w:rFonts w:ascii="Times New Roman" w:hAnsi="Times New Roman"/>
              </w:rPr>
              <w:t>Nuolatos</w:t>
            </w:r>
          </w:p>
        </w:tc>
      </w:tr>
      <w:tr w:rsidR="00E445E9" w:rsidRPr="005F492E" w14:paraId="5025B767" w14:textId="63FD4781" w:rsidTr="00E445E9">
        <w:tc>
          <w:tcPr>
            <w:tcW w:w="728" w:type="pct"/>
            <w:vAlign w:val="center"/>
          </w:tcPr>
          <w:p w14:paraId="0E6FF93E" w14:textId="77777777" w:rsidR="00E445E9" w:rsidRPr="005F492E" w:rsidRDefault="00E445E9" w:rsidP="005F492E">
            <w:pPr>
              <w:rPr>
                <w:rFonts w:ascii="Times New Roman" w:hAnsi="Times New Roman"/>
                <w:lang w:val="lt-LT"/>
              </w:rPr>
            </w:pPr>
            <w:r w:rsidRPr="005F492E">
              <w:rPr>
                <w:rFonts w:ascii="Times New Roman" w:hAnsi="Times New Roman"/>
                <w:lang w:val="lt-LT"/>
              </w:rPr>
              <w:t>Dėstymas, mokymasis, studentų pasiekimai ir absolventų įsidarbinimas</w:t>
            </w:r>
          </w:p>
        </w:tc>
        <w:tc>
          <w:tcPr>
            <w:tcW w:w="2042" w:type="pct"/>
            <w:vAlign w:val="center"/>
          </w:tcPr>
          <w:p w14:paraId="78B97E63"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 xml:space="preserve">Atsižvelgiant į tai, kad pastaraisiais metais KMAIK dieninės studijos buvo transformuotos iš kontaktinių į mišrųjį mokymą, rekomenduojama atlikti tyrimą (pvz., kaip pedagoginės plėtros projektą pasirinktai dėstytojų grupei), siekiant įvertinti šio pokyčio poveikį studentų ir dėstytojų gerovei, studentų motyvacijai ir mokymosi rezultatams, dėstytojų pedagoginėms kompetencijoms, darbo krūviui ir administracinei paramai. Vertintojų komanda palaiko KMAIK ketinimus rengti kolegijos atvirų durų dienas didesniu mastu. Alumni klubo nariai galėtų atlikti svarbų vaidmenį </w:t>
            </w:r>
            <w:r w:rsidRPr="005F492E">
              <w:rPr>
                <w:rFonts w:ascii="Times New Roman" w:hAnsi="Times New Roman"/>
                <w:lang w:val="lt-LT"/>
              </w:rPr>
              <w:lastRenderedPageBreak/>
              <w:t>pristatant studentams įsidarbinimo galimybes, darbo patirtis ir specializacijoms aktualius įgūdžius.</w:t>
            </w:r>
          </w:p>
        </w:tc>
        <w:tc>
          <w:tcPr>
            <w:tcW w:w="1115" w:type="pct"/>
            <w:vAlign w:val="center"/>
          </w:tcPr>
          <w:p w14:paraId="7F328503"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lastRenderedPageBreak/>
              <w:t>Atlikta dėstytojų apklausa apie mišraus studijų metodo poveikį studentų motyvacijai ir studijų rezultatams</w:t>
            </w:r>
          </w:p>
        </w:tc>
        <w:tc>
          <w:tcPr>
            <w:tcW w:w="1114" w:type="pct"/>
            <w:vAlign w:val="center"/>
          </w:tcPr>
          <w:p w14:paraId="06AD035F" w14:textId="2013FD41" w:rsidR="00E445E9" w:rsidRPr="005F492E" w:rsidRDefault="00E445E9" w:rsidP="00E445E9">
            <w:pPr>
              <w:jc w:val="center"/>
              <w:rPr>
                <w:rFonts w:ascii="Times New Roman" w:hAnsi="Times New Roman"/>
              </w:rPr>
            </w:pPr>
            <w:r>
              <w:rPr>
                <w:rFonts w:ascii="Times New Roman" w:hAnsi="Times New Roman"/>
              </w:rPr>
              <w:t>2024 m.</w:t>
            </w:r>
          </w:p>
        </w:tc>
      </w:tr>
      <w:tr w:rsidR="00E445E9" w:rsidRPr="005F492E" w14:paraId="073F59BE" w14:textId="36670F61" w:rsidTr="00E445E9">
        <w:tc>
          <w:tcPr>
            <w:tcW w:w="728" w:type="pct"/>
            <w:vAlign w:val="center"/>
          </w:tcPr>
          <w:p w14:paraId="51F9D93C" w14:textId="77777777" w:rsidR="00E445E9" w:rsidRPr="005F492E" w:rsidRDefault="00E445E9" w:rsidP="005F492E">
            <w:pPr>
              <w:rPr>
                <w:rFonts w:ascii="Times New Roman" w:hAnsi="Times New Roman"/>
                <w:lang w:val="lt-LT"/>
              </w:rPr>
            </w:pPr>
            <w:r w:rsidRPr="005F492E">
              <w:rPr>
                <w:rFonts w:ascii="Times New Roman" w:hAnsi="Times New Roman"/>
                <w:lang w:val="lt-LT"/>
              </w:rPr>
              <w:t>Dėstytojai</w:t>
            </w:r>
          </w:p>
        </w:tc>
        <w:tc>
          <w:tcPr>
            <w:tcW w:w="2042" w:type="pct"/>
            <w:vAlign w:val="center"/>
          </w:tcPr>
          <w:p w14:paraId="790FC56F"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Dėstytojai turi aktyviau publikuoti mokslinius tyrimus aukšto lygio žurnaluose, įtrauktuose į „Clarivate Analytics Web of Science“ (CA WoS) duomenų bazę. Rekomenduojama peržiūrėti „KMAIK dėstytojo kvalifikacinius reikalavimus“ ir padidinti reikalavimus dėstytojų mokslinei veiklai (t. y. nurodyti konkretų mokslinių publikacijų CA WoS žurnaluose skaičių per 5 metų laikotarpį). Taip pat siūloma toliau plėtoti tarptautinį mobilumą ir užsienio kalbų kompetencijas.</w:t>
            </w:r>
          </w:p>
        </w:tc>
        <w:tc>
          <w:tcPr>
            <w:tcW w:w="1115" w:type="pct"/>
            <w:vAlign w:val="center"/>
          </w:tcPr>
          <w:p w14:paraId="6D163014"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Atnaujinti dėstytojų kvalifikaciniai reikalavimai ir numatytas publikacijų skaičius per atestacinį laikotarpį. Dėstytojams organizuojami anglų kalbos kursus, siekiant tobulinti mokslinės kalbos įgūdžius.</w:t>
            </w:r>
          </w:p>
        </w:tc>
        <w:tc>
          <w:tcPr>
            <w:tcW w:w="1114" w:type="pct"/>
            <w:vAlign w:val="center"/>
          </w:tcPr>
          <w:p w14:paraId="2AC5DB19" w14:textId="39588D9D" w:rsidR="00E445E9" w:rsidRPr="005F492E" w:rsidRDefault="00E445E9" w:rsidP="00E445E9">
            <w:pPr>
              <w:jc w:val="center"/>
              <w:rPr>
                <w:rFonts w:ascii="Times New Roman" w:hAnsi="Times New Roman"/>
              </w:rPr>
            </w:pPr>
            <w:r>
              <w:rPr>
                <w:rFonts w:ascii="Times New Roman" w:hAnsi="Times New Roman"/>
              </w:rPr>
              <w:t>2024 m.</w:t>
            </w:r>
          </w:p>
        </w:tc>
      </w:tr>
      <w:tr w:rsidR="00E445E9" w:rsidRPr="005F492E" w14:paraId="7D0FEEEF" w14:textId="03732647" w:rsidTr="00E445E9">
        <w:tc>
          <w:tcPr>
            <w:tcW w:w="728" w:type="pct"/>
            <w:vAlign w:val="center"/>
          </w:tcPr>
          <w:p w14:paraId="246285D9" w14:textId="77777777" w:rsidR="00E445E9" w:rsidRPr="005F492E" w:rsidRDefault="00E445E9" w:rsidP="005F492E">
            <w:pPr>
              <w:rPr>
                <w:rFonts w:ascii="Times New Roman" w:hAnsi="Times New Roman"/>
                <w:lang w:val="lt-LT"/>
              </w:rPr>
            </w:pPr>
            <w:r w:rsidRPr="005F492E">
              <w:rPr>
                <w:rFonts w:ascii="Times New Roman" w:hAnsi="Times New Roman"/>
                <w:lang w:val="lt-LT"/>
              </w:rPr>
              <w:t>Mokymosi aplinka ir ištekliai</w:t>
            </w:r>
          </w:p>
        </w:tc>
        <w:tc>
          <w:tcPr>
            <w:tcW w:w="2042" w:type="pct"/>
            <w:vAlign w:val="center"/>
          </w:tcPr>
          <w:p w14:paraId="72B595AB"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KMAIK turi įspūdingą infrastruktūrą, laboratorijas ir įrangą bei prieigą prie netoliese esančių miškų praktiniam mokymui. Tačiau susiduriama su sunkumais atnaujinant inventorių, nes ES finansavimas dažniausiai skiriamas tyrimams. Ekspertų grupė rekomenduoja plėtoti glaudesnį bendradarbiavimą su VDU ir, kai kuriais atvejais, dalintis retesne įranga. Vis dar trūksta miško, kuriame būtų galima praktikuotis privačios miškininkystės klausimais.</w:t>
            </w:r>
          </w:p>
        </w:tc>
        <w:tc>
          <w:tcPr>
            <w:tcW w:w="1115" w:type="pct"/>
            <w:vAlign w:val="center"/>
          </w:tcPr>
          <w:p w14:paraId="3B3BB808"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 xml:space="preserve">Numatoma pasirašyti atnaujintą bendradarbiavimo sutartį su VĮ Valstybinių miškų urėdija ir plėtoti bendradarbiavimą užtikrinant praktinio mokymo bazę miškininkystės studijų programos studentams. </w:t>
            </w:r>
          </w:p>
        </w:tc>
        <w:tc>
          <w:tcPr>
            <w:tcW w:w="1114" w:type="pct"/>
            <w:vAlign w:val="center"/>
          </w:tcPr>
          <w:p w14:paraId="73901D40" w14:textId="74D2543D" w:rsidR="00E445E9" w:rsidRPr="005F492E" w:rsidRDefault="00E445E9" w:rsidP="00E445E9">
            <w:pPr>
              <w:jc w:val="center"/>
              <w:rPr>
                <w:rFonts w:ascii="Times New Roman" w:hAnsi="Times New Roman"/>
              </w:rPr>
            </w:pPr>
            <w:r>
              <w:rPr>
                <w:rFonts w:ascii="Times New Roman" w:hAnsi="Times New Roman"/>
              </w:rPr>
              <w:t>2024 m.</w:t>
            </w:r>
          </w:p>
        </w:tc>
      </w:tr>
      <w:tr w:rsidR="00E445E9" w:rsidRPr="005F492E" w14:paraId="60B62598" w14:textId="7ABF0793" w:rsidTr="00E445E9">
        <w:tc>
          <w:tcPr>
            <w:tcW w:w="728" w:type="pct"/>
            <w:vAlign w:val="center"/>
          </w:tcPr>
          <w:p w14:paraId="674E3378" w14:textId="77777777" w:rsidR="00E445E9" w:rsidRPr="005F492E" w:rsidRDefault="00E445E9" w:rsidP="005F492E">
            <w:pPr>
              <w:rPr>
                <w:rFonts w:ascii="Times New Roman" w:hAnsi="Times New Roman"/>
                <w:lang w:val="lt-LT"/>
              </w:rPr>
            </w:pPr>
            <w:r w:rsidRPr="005F492E">
              <w:rPr>
                <w:rFonts w:ascii="Times New Roman" w:hAnsi="Times New Roman"/>
                <w:lang w:val="lt-LT"/>
              </w:rPr>
              <w:t>Studijų kokybės užtikrinimas ir vieša informacija</w:t>
            </w:r>
          </w:p>
        </w:tc>
        <w:tc>
          <w:tcPr>
            <w:tcW w:w="2042" w:type="pct"/>
            <w:vAlign w:val="center"/>
          </w:tcPr>
          <w:p w14:paraId="3E196B1F"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Miškininkystės profesijos viešinimas ir patrauklumo didinimas tarp jaunimo turėtų būti viena iš svarbiausių KMAIK misijų. Rekomenduojama, kad KMAIK darbuotojai aktyviau dalyvautų viešuose debatuose nacionalinėje ir profesinėje žiniasklaidoje bei įsitrauktų į politikos formavimo procesus, pavyzdžiui, Nacionalinio miškų susitarimo rengimą. Kolegija teikia aukštos kokybės išsilavinimą ir rengia darbo rinkoje paklausius absolventus, tačiau galėtų taikyti aktyvesnę rinkodaros strategiją, kuri apimtų reklamą žiniasklaidoje, mokyklų lankymą, dalyvavimą viešose diskusijose ir pan.</w:t>
            </w:r>
          </w:p>
        </w:tc>
        <w:tc>
          <w:tcPr>
            <w:tcW w:w="1115" w:type="pct"/>
            <w:vAlign w:val="center"/>
          </w:tcPr>
          <w:p w14:paraId="702F46A5" w14:textId="77777777" w:rsidR="00E445E9" w:rsidRPr="005F492E" w:rsidRDefault="00E445E9" w:rsidP="005F492E">
            <w:pPr>
              <w:jc w:val="both"/>
              <w:rPr>
                <w:rFonts w:ascii="Times New Roman" w:hAnsi="Times New Roman"/>
                <w:lang w:val="lt-LT"/>
              </w:rPr>
            </w:pPr>
            <w:r w:rsidRPr="005F492E">
              <w:rPr>
                <w:rFonts w:ascii="Times New Roman" w:hAnsi="Times New Roman"/>
                <w:lang w:val="lt-LT"/>
              </w:rPr>
              <w:t>Dalyvaujama studijų parodose, dėstytojai lankosi mokyklose, vedamos įdomiosios pamokos moksleiviams. Administracijos darbuotojai dalyvauja rengiant Nacionalinį miškų susitarimą, diskusijose miškų tvarkymo politikos formavimo klausimais.</w:t>
            </w:r>
          </w:p>
        </w:tc>
        <w:tc>
          <w:tcPr>
            <w:tcW w:w="1114" w:type="pct"/>
            <w:vAlign w:val="center"/>
          </w:tcPr>
          <w:p w14:paraId="0D927ED4" w14:textId="7A2261AB" w:rsidR="00E445E9" w:rsidRPr="005F492E" w:rsidRDefault="00E445E9" w:rsidP="00E445E9">
            <w:pPr>
              <w:jc w:val="center"/>
              <w:rPr>
                <w:rFonts w:ascii="Times New Roman" w:hAnsi="Times New Roman"/>
              </w:rPr>
            </w:pPr>
            <w:r>
              <w:rPr>
                <w:rFonts w:ascii="Times New Roman" w:hAnsi="Times New Roman"/>
              </w:rPr>
              <w:t>Nuolatos</w:t>
            </w:r>
          </w:p>
        </w:tc>
      </w:tr>
    </w:tbl>
    <w:p w14:paraId="46CD2996" w14:textId="77777777" w:rsidR="005F492E" w:rsidRPr="005F492E" w:rsidRDefault="005F492E" w:rsidP="005F492E">
      <w:pPr>
        <w:tabs>
          <w:tab w:val="left" w:pos="426"/>
        </w:tabs>
        <w:spacing w:after="0" w:line="240" w:lineRule="auto"/>
        <w:jc w:val="both"/>
        <w:rPr>
          <w:rFonts w:ascii="Times New Roman" w:eastAsia="Times New Roman" w:hAnsi="Times New Roman" w:cs="Times New Roman"/>
          <w:kern w:val="0"/>
          <w:sz w:val="24"/>
          <w:szCs w:val="24"/>
          <w:lang w:eastAsia="lt-LT"/>
          <w14:ligatures w14:val="none"/>
        </w:rPr>
      </w:pPr>
    </w:p>
    <w:p w14:paraId="2974D519" w14:textId="0055602A" w:rsidR="00B43FE2" w:rsidRPr="00B43FE2" w:rsidRDefault="00B43FE2" w:rsidP="00B43FE2">
      <w:pPr>
        <w:tabs>
          <w:tab w:val="left" w:pos="42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Apsvarstyta ir p</w:t>
      </w:r>
      <w:r w:rsidRPr="00B43FE2">
        <w:rPr>
          <w:rFonts w:ascii="Times New Roman" w:eastAsia="Times New Roman" w:hAnsi="Times New Roman" w:cs="Times New Roman"/>
          <w:kern w:val="0"/>
          <w:sz w:val="24"/>
          <w:szCs w:val="24"/>
          <w:lang w:eastAsia="lt-LT"/>
          <w14:ligatures w14:val="none"/>
        </w:rPr>
        <w:t>atvirtinta Akademinės tarybos 2023-05-11 posėdyje, protokolas Nr. (1.22-3) -5</w:t>
      </w:r>
    </w:p>
    <w:p w14:paraId="47C13283" w14:textId="77777777" w:rsidR="005F492E" w:rsidRPr="005F492E" w:rsidRDefault="005F492E" w:rsidP="005F492E">
      <w:pPr>
        <w:tabs>
          <w:tab w:val="left" w:pos="426"/>
        </w:tabs>
        <w:spacing w:after="0" w:line="240" w:lineRule="auto"/>
        <w:jc w:val="both"/>
        <w:rPr>
          <w:rFonts w:ascii="Times New Roman" w:eastAsia="Times New Roman" w:hAnsi="Times New Roman" w:cs="Times New Roman"/>
          <w:kern w:val="0"/>
          <w:sz w:val="24"/>
          <w:szCs w:val="24"/>
          <w:lang w:eastAsia="lt-LT"/>
          <w14:ligatures w14:val="none"/>
        </w:rPr>
      </w:pPr>
    </w:p>
    <w:sectPr w:rsidR="005F492E" w:rsidRPr="005F492E" w:rsidSect="005F492E">
      <w:footerReference w:type="default" r:id="rId7"/>
      <w:pgSz w:w="11906" w:h="16838" w:code="9"/>
      <w:pgMar w:top="1134" w:right="567" w:bottom="1134" w:left="1701" w:header="170"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A13D" w14:textId="77777777" w:rsidR="00BD0023" w:rsidRDefault="00BD0023">
      <w:pPr>
        <w:spacing w:after="0" w:line="240" w:lineRule="auto"/>
      </w:pPr>
      <w:r>
        <w:separator/>
      </w:r>
    </w:p>
  </w:endnote>
  <w:endnote w:type="continuationSeparator" w:id="0">
    <w:p w14:paraId="49D59FC4" w14:textId="77777777" w:rsidR="00BD0023" w:rsidRDefault="00BD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65841"/>
      <w:docPartObj>
        <w:docPartGallery w:val="Page Numbers (Bottom of Page)"/>
        <w:docPartUnique/>
      </w:docPartObj>
    </w:sdtPr>
    <w:sdtEndPr>
      <w:rPr>
        <w:sz w:val="22"/>
        <w:szCs w:val="22"/>
      </w:rPr>
    </w:sdtEndPr>
    <w:sdtContent>
      <w:p w14:paraId="3D360BE8" w14:textId="77777777" w:rsidR="005F492E" w:rsidRPr="000457E7" w:rsidRDefault="005F492E" w:rsidP="000457E7">
        <w:pPr>
          <w:pStyle w:val="Porat"/>
          <w:jc w:val="right"/>
          <w:rPr>
            <w:sz w:val="22"/>
            <w:szCs w:val="22"/>
          </w:rPr>
        </w:pPr>
        <w:r w:rsidRPr="000457E7">
          <w:rPr>
            <w:sz w:val="22"/>
            <w:szCs w:val="22"/>
          </w:rPr>
          <w:fldChar w:fldCharType="begin"/>
        </w:r>
        <w:r w:rsidRPr="000457E7">
          <w:rPr>
            <w:sz w:val="22"/>
            <w:szCs w:val="22"/>
          </w:rPr>
          <w:instrText>PAGE   \* MERGEFORMAT</w:instrText>
        </w:r>
        <w:r w:rsidRPr="000457E7">
          <w:rPr>
            <w:sz w:val="22"/>
            <w:szCs w:val="22"/>
          </w:rPr>
          <w:fldChar w:fldCharType="separate"/>
        </w:r>
        <w:r w:rsidRPr="000457E7">
          <w:rPr>
            <w:sz w:val="22"/>
            <w:szCs w:val="22"/>
          </w:rPr>
          <w:t>2</w:t>
        </w:r>
        <w:r w:rsidRPr="000457E7">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E0BE" w14:textId="77777777" w:rsidR="00BD0023" w:rsidRDefault="00BD0023">
      <w:pPr>
        <w:spacing w:after="0" w:line="240" w:lineRule="auto"/>
      </w:pPr>
      <w:r>
        <w:separator/>
      </w:r>
    </w:p>
  </w:footnote>
  <w:footnote w:type="continuationSeparator" w:id="0">
    <w:p w14:paraId="6F0AEFD7" w14:textId="77777777" w:rsidR="00BD0023" w:rsidRDefault="00BD0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07AEF"/>
    <w:multiLevelType w:val="multilevel"/>
    <w:tmpl w:val="B2EA6EAE"/>
    <w:lvl w:ilvl="0">
      <w:start w:val="1"/>
      <w:numFmt w:val="decimal"/>
      <w:lvlText w:val="%1."/>
      <w:lvlJc w:val="left"/>
      <w:pPr>
        <w:ind w:left="720" w:hanging="323"/>
      </w:pPr>
      <w:rPr>
        <w:rFonts w:ascii="Times New Roman" w:hAnsi="Times New Roman" w:hint="default"/>
        <w:b w:val="0"/>
        <w:i w:val="0"/>
        <w:spacing w:val="0"/>
        <w:position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002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2E"/>
    <w:rsid w:val="0003375D"/>
    <w:rsid w:val="001A5EF4"/>
    <w:rsid w:val="00494073"/>
    <w:rsid w:val="005F492E"/>
    <w:rsid w:val="007B4D1B"/>
    <w:rsid w:val="008161D1"/>
    <w:rsid w:val="0084413C"/>
    <w:rsid w:val="00B43FE2"/>
    <w:rsid w:val="00BD0023"/>
    <w:rsid w:val="00CC1080"/>
    <w:rsid w:val="00E445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AA3D"/>
  <w15:chartTrackingRefBased/>
  <w15:docId w15:val="{7869BBC1-C557-4783-9D07-6A68E646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4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4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49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49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49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49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49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49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49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49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49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49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49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49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49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49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49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49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49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49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49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49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492E"/>
    <w:rPr>
      <w:i/>
      <w:iCs/>
      <w:color w:val="404040" w:themeColor="text1" w:themeTint="BF"/>
    </w:rPr>
  </w:style>
  <w:style w:type="paragraph" w:styleId="Sraopastraipa">
    <w:name w:val="List Paragraph"/>
    <w:basedOn w:val="prastasis"/>
    <w:uiPriority w:val="34"/>
    <w:qFormat/>
    <w:rsid w:val="005F492E"/>
    <w:pPr>
      <w:ind w:left="720"/>
      <w:contextualSpacing/>
    </w:pPr>
  </w:style>
  <w:style w:type="character" w:styleId="Rykuspabraukimas">
    <w:name w:val="Intense Emphasis"/>
    <w:basedOn w:val="Numatytasispastraiposriftas"/>
    <w:uiPriority w:val="21"/>
    <w:qFormat/>
    <w:rsid w:val="005F492E"/>
    <w:rPr>
      <w:i/>
      <w:iCs/>
      <w:color w:val="0F4761" w:themeColor="accent1" w:themeShade="BF"/>
    </w:rPr>
  </w:style>
  <w:style w:type="paragraph" w:styleId="Iskirtacitata">
    <w:name w:val="Intense Quote"/>
    <w:basedOn w:val="prastasis"/>
    <w:next w:val="prastasis"/>
    <w:link w:val="IskirtacitataDiagrama"/>
    <w:uiPriority w:val="30"/>
    <w:qFormat/>
    <w:rsid w:val="005F4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492E"/>
    <w:rPr>
      <w:i/>
      <w:iCs/>
      <w:color w:val="0F4761" w:themeColor="accent1" w:themeShade="BF"/>
    </w:rPr>
  </w:style>
  <w:style w:type="character" w:styleId="Rykinuoroda">
    <w:name w:val="Intense Reference"/>
    <w:basedOn w:val="Numatytasispastraiposriftas"/>
    <w:uiPriority w:val="32"/>
    <w:qFormat/>
    <w:rsid w:val="005F492E"/>
    <w:rPr>
      <w:b/>
      <w:bCs/>
      <w:smallCaps/>
      <w:color w:val="0F4761" w:themeColor="accent1" w:themeShade="BF"/>
      <w:spacing w:val="5"/>
    </w:rPr>
  </w:style>
  <w:style w:type="paragraph" w:styleId="Porat">
    <w:name w:val="footer"/>
    <w:basedOn w:val="prastasis"/>
    <w:link w:val="PoratDiagrama"/>
    <w:uiPriority w:val="99"/>
    <w:unhideWhenUsed/>
    <w:rsid w:val="005F492E"/>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uiPriority w:val="99"/>
    <w:rsid w:val="005F492E"/>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5F492E"/>
    <w:pPr>
      <w:spacing w:after="0" w:line="240" w:lineRule="auto"/>
    </w:pPr>
    <w:rPr>
      <w:rFonts w:ascii="Cambria" w:eastAsia="MS Mincho" w:hAnsi="Cambria"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3273</Words>
  <Characters>1867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Semaškienė</dc:creator>
  <cp:keywords/>
  <dc:description/>
  <cp:lastModifiedBy>Loreta Semaškienė</cp:lastModifiedBy>
  <cp:revision>3</cp:revision>
  <dcterms:created xsi:type="dcterms:W3CDTF">2026-03-04T21:32:00Z</dcterms:created>
  <dcterms:modified xsi:type="dcterms:W3CDTF">2026-03-05T06:15:00Z</dcterms:modified>
</cp:coreProperties>
</file>