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0D1" w:rsidRDefault="00E110D1" w:rsidP="00303C67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lt-LT"/>
        </w:rPr>
      </w:pPr>
      <w:r w:rsidRPr="00E110D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 wp14:anchorId="6B365888" wp14:editId="5E8FE6E1">
            <wp:extent cx="2324100" cy="495300"/>
            <wp:effectExtent l="0" t="0" r="0" b="0"/>
            <wp:docPr id="8" name="Paveikslėlis 7" descr="C:\Users\User\Downloads\LT Bendrai finansuoja Europos Sąjunga_P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7" descr="C:\Users\User\Downloads\LT Bendrai finansuoja Europos Sąjunga_P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0D1">
        <w:rPr>
          <w:noProof/>
        </w:rPr>
        <w:t xml:space="preserve"> </w:t>
      </w:r>
      <w:r w:rsidRPr="00E110D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 wp14:anchorId="1D42E046" wp14:editId="29A29268">
            <wp:extent cx="1463513" cy="569091"/>
            <wp:effectExtent l="0" t="0" r="3810" b="2540"/>
            <wp:docPr id="7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ikslėlis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23" cy="5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0D1">
        <w:rPr>
          <w:noProof/>
        </w:rPr>
        <w:t xml:space="preserve"> </w:t>
      </w:r>
      <w:r w:rsidRPr="00E110D1">
        <w:rPr>
          <w:noProof/>
        </w:rPr>
        <w:drawing>
          <wp:inline distT="0" distB="0" distL="0" distR="0" wp14:anchorId="65ACCF77" wp14:editId="319FE61E">
            <wp:extent cx="938435" cy="596900"/>
            <wp:effectExtent l="0" t="0" r="0" b="0"/>
            <wp:docPr id="5" name="Paveikslėlis 4" descr="Žiūrėti šaltinio vaizd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4" descr="Žiūrėti šaltinio vaizd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36" cy="6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436" w:rsidRPr="00166436" w:rsidRDefault="00166436" w:rsidP="0016643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lt-LT"/>
        </w:rPr>
      </w:pPr>
    </w:p>
    <w:p w:rsidR="00F2571F" w:rsidRPr="00F2571F" w:rsidRDefault="004E050E" w:rsidP="00F2571F">
      <w:pPr>
        <w:spacing w:after="240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lt-LT"/>
        </w:rPr>
        <w:t>MEDYNO SORTIMENTINĖS STRUKTŪROS PROGNOZAVIMAS</w:t>
      </w:r>
    </w:p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Miškai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aplinkai ir žmonėms teikia įvairialypę naudą, tačiau miškininkai (ypač privačių miškų savininkai) finansinius išteklius didžiąją dalimi gauna tik už brandžiuose </w:t>
      </w:r>
      <w:r w:rsidR="008C71A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medynuose užaugintus apvaliosios medienos gaminius bei medynų ugdymo ir sanitarinių kirtimų metu gaunamą medienos produkciją. Beveik tik šiais finansiniais ištekliais miškininkai organizuoja ir vykdo </w:t>
      </w:r>
      <w:r w:rsidR="00626831">
        <w:rPr>
          <w:rFonts w:ascii="Times New Roman" w:hAnsi="Times New Roman" w:cs="Times New Roman"/>
          <w:color w:val="000000"/>
          <w:sz w:val="24"/>
          <w:szCs w:val="24"/>
          <w:lang w:val="lt-LT"/>
        </w:rPr>
        <w:t>medynų</w:t>
      </w:r>
      <w:r w:rsidR="008C71A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atkūrimo</w:t>
      </w:r>
      <w:r w:rsidR="0062683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jų priežiūros, apsaugos nuo ligų, vabzdžių, žvėrių daromų pažaidų bei daugelį kitų miško tvarkymo darbų, todėl labai svarbu racionaliai naudoti </w:t>
      </w:r>
      <w:r w:rsidR="004966D0">
        <w:rPr>
          <w:rFonts w:ascii="Times New Roman" w:hAnsi="Times New Roman" w:cs="Times New Roman"/>
          <w:color w:val="000000"/>
          <w:sz w:val="24"/>
          <w:szCs w:val="24"/>
          <w:lang w:val="lt-LT"/>
        </w:rPr>
        <w:t>užaugintą medieną, ištirti apvaliosios medienos gaminių rinką ir gauti gerą kainą už paruoštą produkciją.</w:t>
      </w:r>
      <w:r w:rsidR="0062683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Auginant mišką ir ruošiantis naudoti brandžius medynus svarbu prognozuoti</w:t>
      </w:r>
      <w:r w:rsidR="004966D0">
        <w:rPr>
          <w:rFonts w:ascii="Times New Roman" w:hAnsi="Times New Roman" w:cs="Times New Roman"/>
          <w:color w:val="000000"/>
          <w:sz w:val="24"/>
          <w:szCs w:val="24"/>
          <w:lang w:val="lt-LT"/>
        </w:rPr>
        <w:t>, kokius ir kiek apvaliosios medienos gaminių bus galima paruošti atlikus medienos ruošos darbus.</w:t>
      </w:r>
    </w:p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Pastaraisiais metais didžiąją </w:t>
      </w:r>
      <w:r w:rsidR="004966D0">
        <w:rPr>
          <w:rFonts w:ascii="Times New Roman" w:hAnsi="Times New Roman" w:cs="Times New Roman"/>
          <w:color w:val="000000"/>
          <w:sz w:val="24"/>
          <w:szCs w:val="24"/>
          <w:lang w:val="lt-LT"/>
        </w:rPr>
        <w:t>Valstybinių miškų urėdijoje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gaminamų apvaliosios medienos gaminių dalį sudaro įvairios paskirties rąstai (</w:t>
      </w: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pjautinieji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fanerrąsčiai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tarrąsčiai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statybiniai, stulpų ir kt.). Pastaraisiais metais jų paruošiama 50-55 % nuo visos gaminamos apvaliosios medienos produkcijos. Ankstesniais dešimtmečiais rąstų dalis medienos produkcijoje buvo mažesnė. 1938 metais  rąstų buvo gaminama 43 % nuo visos gaminamos apvaliosios medienos produkcijos, o sovietmečiu – apie </w:t>
      </w:r>
      <w:r w:rsidRPr="00637279">
        <w:rPr>
          <w:rFonts w:ascii="Times New Roman" w:hAnsi="Times New Roman" w:cs="Times New Roman"/>
          <w:sz w:val="24"/>
          <w:szCs w:val="24"/>
          <w:lang w:val="lt-LT"/>
        </w:rPr>
        <w:t>41-45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%. </w:t>
      </w:r>
    </w:p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6"/>
        <w:gridCol w:w="2214"/>
      </w:tblGrid>
      <w:tr w:rsidR="00637279" w:rsidRPr="00F04A6E" w:rsidTr="008F1F36">
        <w:tc>
          <w:tcPr>
            <w:tcW w:w="5904" w:type="dxa"/>
          </w:tcPr>
          <w:p w:rsidR="00637279" w:rsidRPr="00637279" w:rsidRDefault="00637279" w:rsidP="008F1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37279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drawing>
                <wp:inline distT="0" distB="0" distL="0" distR="0" wp14:anchorId="27CB976B" wp14:editId="487CB039">
                  <wp:extent cx="4396105" cy="2124075"/>
                  <wp:effectExtent l="0" t="0" r="4445" b="9525"/>
                  <wp:docPr id="51" name="Diagrama 5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502" w:type="dxa"/>
            <w:vAlign w:val="center"/>
          </w:tcPr>
          <w:p w:rsidR="00637279" w:rsidRPr="00637279" w:rsidRDefault="00637279" w:rsidP="008F1F3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</w:pPr>
          </w:p>
          <w:p w:rsidR="00637279" w:rsidRPr="00637279" w:rsidRDefault="00637279" w:rsidP="008F1F3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</w:pPr>
          </w:p>
          <w:p w:rsidR="00637279" w:rsidRPr="00637279" w:rsidRDefault="00637279" w:rsidP="008F1F3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</w:pPr>
          </w:p>
          <w:p w:rsidR="00637279" w:rsidRPr="00637279" w:rsidRDefault="00637279" w:rsidP="008F1F3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lt-LT"/>
              </w:rPr>
            </w:pPr>
          </w:p>
          <w:p w:rsidR="00637279" w:rsidRPr="00637279" w:rsidRDefault="004E050E" w:rsidP="004E05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Valstybinių m</w:t>
            </w:r>
            <w:r w:rsidR="00637279" w:rsidRPr="0063727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iškų urėdijos parduotų 2025 metais apvaliosios medienos gaminių struktūra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</w:t>
            </w:r>
          </w:p>
        </w:tc>
      </w:tr>
    </w:tbl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Popierrąsčiai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pastaruoju metu sudaro apie 15</w:t>
      </w:r>
      <w:r w:rsidR="00D17AA3">
        <w:rPr>
          <w:rFonts w:ascii="Times New Roman" w:hAnsi="Times New Roman" w:cs="Times New Roman"/>
          <w:color w:val="000000"/>
          <w:sz w:val="24"/>
          <w:szCs w:val="24"/>
          <w:lang w:val="lt-LT"/>
        </w:rPr>
        <w:t>-16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% ruošiamų apvaliosios medienos gaminių. Anksčiau </w:t>
      </w: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popierrąsčių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irgi buvo gaminama mažiau. Sovietmečiu jų dalis apvaliosios medienos gaminių produkcijoje buvo</w:t>
      </w:r>
      <w:r w:rsidR="00D17AA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tik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37279">
        <w:rPr>
          <w:rFonts w:ascii="Times New Roman" w:hAnsi="Times New Roman" w:cs="Times New Roman"/>
          <w:sz w:val="24"/>
          <w:szCs w:val="24"/>
          <w:lang w:val="lt-LT"/>
        </w:rPr>
        <w:t>2-5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%. Tuomet </w:t>
      </w:r>
      <w:proofErr w:type="spellStart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popierrąsčiai</w:t>
      </w:r>
      <w:proofErr w:type="spellEnd"/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37279">
        <w:rPr>
          <w:rFonts w:ascii="Times New Roman" w:hAnsi="Times New Roman" w:cs="Times New Roman"/>
          <w:sz w:val="24"/>
          <w:szCs w:val="24"/>
          <w:lang w:val="lt-LT"/>
        </w:rPr>
        <w:t>daugiausiai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buvo gaminami iš spygliuočių medžių rūšių medienos, o dabar šioje produkcijoje labai padidėjo lapuočių, ypač beržų, dalis.</w:t>
      </w:r>
    </w:p>
    <w:p w:rsidR="00637279" w:rsidRP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Didelė paklausa yra plokščių medienai. Šiuo metu  plokščių gamybai sunaudojama apie 15 % miškų urėdijos gaminamos apvaliosios medienos. </w:t>
      </w:r>
    </w:p>
    <w:p w:rsidR="00637279" w:rsidRDefault="00637279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>Malkinės medienos dalis apvaliosios medienos produkcijoje ilgainiui mažėja. 1938 metais jų dalis medienos ruošoje sudarė 40 %, sovietmečiu dar daugiau (</w:t>
      </w:r>
      <w:r w:rsidRPr="00637279">
        <w:rPr>
          <w:rFonts w:ascii="Times New Roman" w:hAnsi="Times New Roman" w:cs="Times New Roman"/>
          <w:sz w:val="24"/>
          <w:szCs w:val="24"/>
          <w:lang w:val="lt-LT"/>
        </w:rPr>
        <w:t>40-50</w:t>
      </w:r>
      <w:r w:rsidRPr="00637279">
        <w:rPr>
          <w:rFonts w:ascii="Times New Roman" w:hAnsi="Times New Roman" w:cs="Times New Roman"/>
          <w:color w:val="000000"/>
          <w:sz w:val="24"/>
          <w:szCs w:val="24"/>
          <w:lang w:val="lt-LT"/>
        </w:rPr>
        <w:t>%), o pastaraisiais metais – 16-18 %.  Tai reiškia, kad apvalioji mediena pastaruoju metu naudojama racionaliau negu prieš kelis dešimtmečius.</w:t>
      </w:r>
    </w:p>
    <w:p w:rsidR="00D17AA3" w:rsidRDefault="00D17AA3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Norint nustatyti kiek ir kokių apvaliosios medienos gaminių </w:t>
      </w:r>
      <w:r w:rsidR="00EF524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bus galima paruošti auginamuose medynuose, reikia atlikti šių medynų specialiuosius matavimus. </w:t>
      </w:r>
      <w:r w:rsidR="005459BC">
        <w:rPr>
          <w:rFonts w:ascii="Times New Roman" w:hAnsi="Times New Roman" w:cs="Times New Roman"/>
          <w:color w:val="000000"/>
          <w:sz w:val="24"/>
          <w:szCs w:val="24"/>
          <w:lang w:val="lt-LT"/>
        </w:rPr>
        <w:t>D</w:t>
      </w:r>
      <w:r w:rsidR="00EF524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uomenis apie augančių medynų tūrio struktūrą galima </w:t>
      </w:r>
      <w:r w:rsidR="00F15AD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gauti </w:t>
      </w:r>
      <w:r w:rsidR="00EF524B">
        <w:rPr>
          <w:rFonts w:ascii="Times New Roman" w:hAnsi="Times New Roman" w:cs="Times New Roman"/>
          <w:color w:val="000000"/>
          <w:sz w:val="24"/>
          <w:szCs w:val="24"/>
          <w:lang w:val="lt-LT"/>
        </w:rPr>
        <w:t>keliais būdais. Tiksliausias – visų medžių matavimo būdas. Kiekvie</w:t>
      </w:r>
      <w:r w:rsidR="000B278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nam </w:t>
      </w:r>
      <w:r w:rsidR="00607538">
        <w:rPr>
          <w:rFonts w:ascii="Times New Roman" w:hAnsi="Times New Roman" w:cs="Times New Roman"/>
          <w:color w:val="000000"/>
          <w:sz w:val="24"/>
          <w:szCs w:val="24"/>
          <w:lang w:val="lt-LT"/>
        </w:rPr>
        <w:t>medžiui išmatuojamas jo skersmuo 1,3 m aukštyje, o daliai medžių ir jų au</w:t>
      </w:r>
      <w:r w:rsidR="006441F5">
        <w:rPr>
          <w:rFonts w:ascii="Times New Roman" w:hAnsi="Times New Roman" w:cs="Times New Roman"/>
          <w:color w:val="000000"/>
          <w:sz w:val="24"/>
          <w:szCs w:val="24"/>
          <w:lang w:val="lt-LT"/>
        </w:rPr>
        <w:t>k</w:t>
      </w:r>
      <w:r w:rsidR="00607538">
        <w:rPr>
          <w:rFonts w:ascii="Times New Roman" w:hAnsi="Times New Roman" w:cs="Times New Roman"/>
          <w:color w:val="000000"/>
          <w:sz w:val="24"/>
          <w:szCs w:val="24"/>
          <w:lang w:val="lt-LT"/>
        </w:rPr>
        <w:t>štis</w:t>
      </w:r>
      <w:r w:rsidR="006441F5">
        <w:rPr>
          <w:rFonts w:ascii="Times New Roman" w:hAnsi="Times New Roman" w:cs="Times New Roman"/>
          <w:color w:val="000000"/>
          <w:sz w:val="24"/>
          <w:szCs w:val="24"/>
          <w:lang w:val="lt-LT"/>
        </w:rPr>
        <w:t>. Medyno tūris</w:t>
      </w:r>
      <w:r w:rsidR="005459B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="005459BC" w:rsidRPr="005459BC">
        <w:rPr>
          <w:rFonts w:ascii="Times New Roman" w:hAnsi="Times New Roman" w:cs="Times New Roman"/>
          <w:b/>
          <w:i/>
          <w:color w:val="000000"/>
          <w:sz w:val="24"/>
          <w:szCs w:val="24"/>
          <w:lang w:val="lt-LT"/>
        </w:rPr>
        <w:t>M</w:t>
      </w:r>
      <w:r w:rsidR="005459BC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6441F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apskaičiuojamas susumuojant visų medžių stiebų tūrius</w:t>
      </w:r>
      <w:r w:rsidR="005459B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="005459BC" w:rsidRPr="005459BC">
        <w:rPr>
          <w:rFonts w:ascii="Times New Roman" w:hAnsi="Times New Roman" w:cs="Times New Roman"/>
          <w:b/>
          <w:i/>
          <w:color w:val="000000"/>
          <w:sz w:val="24"/>
          <w:szCs w:val="24"/>
          <w:lang w:val="lt-LT"/>
        </w:rPr>
        <w:t>v</w:t>
      </w:r>
      <w:r w:rsidR="005459BC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6441F5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6441F5" w:rsidRDefault="006441F5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6441F5" w:rsidRDefault="006441F5" w:rsidP="006441F5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</w:pP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lt-LT"/>
        </w:rPr>
        <w:t>M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= v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 xml:space="preserve">1 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+ v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 xml:space="preserve">2 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…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+ v</w:t>
      </w:r>
      <w:r w:rsidRPr="006441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>i</w:t>
      </w:r>
    </w:p>
    <w:p w:rsidR="005459BC" w:rsidRDefault="005459BC" w:rsidP="006441F5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</w:pPr>
    </w:p>
    <w:p w:rsidR="005459BC" w:rsidRDefault="005459BC" w:rsidP="005459BC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</w:rPr>
        <w:tab/>
      </w:r>
      <w:r w:rsidRPr="005459B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Kiekvieno medžio</w:t>
      </w:r>
      <w:r w:rsidRPr="005459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5459B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stiebo tūris nustatomas pagal formulę:</w:t>
      </w:r>
    </w:p>
    <w:p w:rsidR="005459BC" w:rsidRDefault="005459BC" w:rsidP="005459BC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</w:p>
    <w:p w:rsidR="005459BC" w:rsidRPr="00F04A6E" w:rsidRDefault="005459BC" w:rsidP="005459B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</w:pPr>
      <w:r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v =</w:t>
      </w:r>
      <w:r w:rsidR="00D21CB0"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 xml:space="preserve"> </w:t>
      </w:r>
      <w:r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g</w:t>
      </w:r>
      <w:r w:rsidRPr="00F04A6E">
        <w:rPr>
          <w:rFonts w:ascii="Times New Roman" w:hAnsi="Times New Roman" w:cs="Times New Roman"/>
          <w:b/>
          <w:i/>
          <w:iCs/>
          <w:sz w:val="28"/>
          <w:szCs w:val="28"/>
          <w:vertAlign w:val="subscript"/>
          <w:lang w:val="lt-LT"/>
        </w:rPr>
        <w:t>1,3.</w:t>
      </w:r>
      <w:r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h</w:t>
      </w:r>
      <w:r w:rsidRPr="00F04A6E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val="lt-LT"/>
        </w:rPr>
        <w:t>.</w:t>
      </w:r>
      <w:r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f</w:t>
      </w:r>
      <w:r w:rsidR="00D21CB0" w:rsidRPr="00F04A6E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 xml:space="preserve"> </w:t>
      </w:r>
    </w:p>
    <w:p w:rsidR="005459BC" w:rsidRPr="00F04A6E" w:rsidRDefault="005459BC" w:rsidP="005459BC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lt-LT"/>
        </w:rPr>
      </w:pPr>
    </w:p>
    <w:p w:rsidR="005459BC" w:rsidRPr="00AA61BB" w:rsidRDefault="005459BC" w:rsidP="005459BC">
      <w:pPr>
        <w:tabs>
          <w:tab w:val="left" w:pos="607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F04A6E">
        <w:rPr>
          <w:sz w:val="26"/>
          <w:szCs w:val="26"/>
          <w:lang w:val="lt-LT"/>
        </w:rPr>
        <w:tab/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 xml:space="preserve">čia     </w:t>
      </w:r>
      <w:r w:rsidR="00AA61BB" w:rsidRPr="00AA61B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AA61BB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g</w:t>
      </w:r>
      <w:r w:rsidRPr="00AA61B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lt-LT"/>
        </w:rPr>
        <w:t>1,3</w:t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 xml:space="preserve"> – stiebo </w:t>
      </w:r>
      <w:proofErr w:type="spellStart"/>
      <w:r w:rsidRPr="00AA61BB">
        <w:rPr>
          <w:rFonts w:ascii="Times New Roman" w:hAnsi="Times New Roman" w:cs="Times New Roman"/>
          <w:sz w:val="24"/>
          <w:szCs w:val="24"/>
          <w:lang w:val="lt-LT"/>
        </w:rPr>
        <w:t>skersplotis</w:t>
      </w:r>
      <w:proofErr w:type="spellEnd"/>
      <w:r w:rsidRPr="00AA61BB">
        <w:rPr>
          <w:rFonts w:ascii="Times New Roman" w:hAnsi="Times New Roman" w:cs="Times New Roman"/>
          <w:sz w:val="24"/>
          <w:szCs w:val="24"/>
          <w:lang w:val="lt-LT"/>
        </w:rPr>
        <w:t xml:space="preserve"> 1,3 m aukštyje nuo</w:t>
      </w:r>
      <w:r w:rsidR="00AA61BB" w:rsidRPr="00AA61B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>šaknies kaklelio,</w:t>
      </w:r>
    </w:p>
    <w:p w:rsidR="005459BC" w:rsidRPr="00AA61BB" w:rsidRDefault="005459BC" w:rsidP="005459B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A61BB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</w:t>
      </w:r>
      <w:r w:rsidRPr="00AA61BB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  <w:t xml:space="preserve"> </w:t>
      </w:r>
      <w:r w:rsidR="00AA61BB" w:rsidRPr="00AA61BB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 w:rsidRPr="00AA61BB">
        <w:rPr>
          <w:rFonts w:ascii="Times New Roman" w:hAnsi="Times New Roman" w:cs="Times New Roman"/>
          <w:b/>
          <w:i/>
          <w:iCs/>
          <w:sz w:val="28"/>
          <w:szCs w:val="28"/>
          <w:lang w:val="lt-LT"/>
        </w:rPr>
        <w:t>h</w:t>
      </w:r>
      <w:r w:rsidRPr="00AA61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>– medžio stiebo aukštis</w:t>
      </w:r>
      <w:r w:rsidR="00AA61BB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:rsidR="00AA61BB" w:rsidRDefault="00AA61BB" w:rsidP="005459B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A61B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15AD9"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f </w:t>
      </w:r>
      <w:r w:rsidRPr="00AA61BB">
        <w:rPr>
          <w:rFonts w:ascii="Times New Roman" w:hAnsi="Times New Roman" w:cs="Times New Roman"/>
          <w:sz w:val="24"/>
          <w:szCs w:val="24"/>
          <w:lang w:val="lt-LT"/>
        </w:rPr>
        <w:t xml:space="preserve">– medžio stiebo </w:t>
      </w:r>
      <w:proofErr w:type="spellStart"/>
      <w:r w:rsidRPr="00AA61BB">
        <w:rPr>
          <w:rFonts w:ascii="Times New Roman" w:hAnsi="Times New Roman" w:cs="Times New Roman"/>
          <w:sz w:val="24"/>
          <w:szCs w:val="24"/>
          <w:lang w:val="lt-LT"/>
        </w:rPr>
        <w:t>formrodis</w:t>
      </w:r>
      <w:proofErr w:type="spellEnd"/>
      <w:r w:rsidRPr="00AA61B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A61BB" w:rsidRDefault="00AA61BB" w:rsidP="005459B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D21CB0" w:rsidRDefault="00AA61BB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Apskaičiuoto medyno tūrio padalijimui į prognozuojamus apvaliosios medienos gaminius naudojam</w:t>
      </w:r>
      <w:r w:rsidR="00D21CB0">
        <w:rPr>
          <w:rFonts w:ascii="Times New Roman" w:hAnsi="Times New Roman" w:cs="Times New Roman"/>
          <w:color w:val="000000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</w:t>
      </w:r>
      <w:r w:rsidR="00F15AD9">
        <w:rPr>
          <w:rFonts w:ascii="Times New Roman" w:hAnsi="Times New Roman" w:cs="Times New Roman"/>
          <w:color w:val="000000"/>
          <w:sz w:val="24"/>
          <w:szCs w:val="24"/>
          <w:lang w:val="lt-LT"/>
        </w:rPr>
        <w:t>tiebų tūrio struktūros modeliai.</w:t>
      </w:r>
    </w:p>
    <w:p w:rsidR="00D21CB0" w:rsidRDefault="00D21CB0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3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655"/>
        <w:gridCol w:w="806"/>
        <w:gridCol w:w="806"/>
        <w:gridCol w:w="806"/>
        <w:gridCol w:w="806"/>
        <w:gridCol w:w="806"/>
        <w:gridCol w:w="806"/>
        <w:gridCol w:w="806"/>
        <w:gridCol w:w="806"/>
        <w:gridCol w:w="732"/>
        <w:gridCol w:w="806"/>
      </w:tblGrid>
      <w:tr w:rsidR="00D21CB0" w:rsidRPr="00D21CB0" w:rsidTr="00D21CB0">
        <w:trPr>
          <w:trHeight w:val="585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dži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ų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skers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-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ens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klasės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cm</w:t>
            </w:r>
          </w:p>
        </w:tc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-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džio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aukš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-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tis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Stiebo tūris (su žieve)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4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Padarinės medienos tūris pagal stambumo klases 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Malki-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nės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medie-nos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tūris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Likvi-dinės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medie-nos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tūris </w:t>
            </w:r>
            <w:r w:rsidRPr="00D21C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  <w:r w:rsidRPr="00D21C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Lie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-kanų tūris </w:t>
            </w:r>
            <w:r w:rsidRPr="00D21C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m</w:t>
            </w:r>
            <w:r w:rsidRPr="00D21C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</w:tr>
      <w:tr w:rsidR="00D21CB0" w:rsidRPr="00D21CB0" w:rsidTr="00D21CB0">
        <w:trPr>
          <w:trHeight w:val="51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Plongalio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s</w:t>
            </w: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kersmuo be žievės </w:t>
            </w:r>
            <w:r w:rsidRPr="00D21C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</w:rPr>
              <w:t>cm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Viso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padari-nės</w:t>
            </w:r>
            <w:proofErr w:type="spellEnd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medie-nos</w:t>
            </w:r>
            <w:proofErr w:type="spellEnd"/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CB0" w:rsidRPr="00D21CB0" w:rsidTr="00D21CB0">
        <w:trPr>
          <w:trHeight w:val="100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25,1 ir d.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17,1-25,0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13,6-17,0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13,6-25,0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5,6-13,5</w:t>
            </w: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1CB0" w:rsidRPr="00D21CB0" w:rsidRDefault="00D21CB0" w:rsidP="00D21CB0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16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0,203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0,087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0,167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0,014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0,181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0.022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22,1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0,358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0,168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0,232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0,069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0,301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0,023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0,324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0,034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24,3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0,553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0,248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0,177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0,425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0,056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0,481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0,017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0,498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0,055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27,3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1,059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0,508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0,265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0,137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0,402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0,042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0,952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0,022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0,974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0,085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29,3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1,712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1,215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0,188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0,103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0,291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1,541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0,069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1,61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0,102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30,6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2,507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1,931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0,151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0,075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0,226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0,024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2,181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0,175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2,356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0,151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56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31,6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3,443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2,581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0,172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0,069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0,241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2,857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0,379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3,236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0,207</w:t>
            </w:r>
          </w:p>
        </w:tc>
      </w:tr>
      <w:tr w:rsidR="00D21CB0" w:rsidRPr="00D21CB0" w:rsidTr="00D21CB0">
        <w:trPr>
          <w:trHeight w:val="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32,3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4,518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3,285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0,225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0,087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0,312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0,044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3,641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0,579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4,22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21CB0" w:rsidRPr="00D21CB0" w:rsidRDefault="00D21CB0" w:rsidP="00D2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CB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0,298</w:t>
            </w:r>
          </w:p>
        </w:tc>
      </w:tr>
    </w:tbl>
    <w:p w:rsidR="00AA61BB" w:rsidRDefault="00AA61BB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D21CB0" w:rsidRDefault="00D21CB0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Šiuo būdu nustatant medyno prognozuojamus apvaliosios medienos gaminių kiekius reikia didelių darbo s</w:t>
      </w:r>
      <w:r w:rsidR="002F5DFB">
        <w:rPr>
          <w:rFonts w:ascii="Times New Roman" w:hAnsi="Times New Roman" w:cs="Times New Roman"/>
          <w:color w:val="000000"/>
          <w:sz w:val="24"/>
          <w:szCs w:val="24"/>
          <w:lang w:val="lt-LT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naudų, gebėjimų </w:t>
      </w:r>
      <w:r w:rsidR="00BA59B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ir įgūdžių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naudotis specialiaisiais normatyvais</w:t>
      </w:r>
      <w:r w:rsidR="00BA59B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</w:p>
    <w:p w:rsidR="00BA59BF" w:rsidRDefault="00BA59BF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Dažnam privačių miškų savininkui visų medžių matavimo būdą įsisavinti sunku. „</w:t>
      </w:r>
      <w:r w:rsidRPr="00BA59BF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Išmaniojo miškininko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“ skaitmeninėje technologijoje numatyta galimybė gauti duomenis apie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 xml:space="preserve">medyno tūrio struktūrą daug paprastesniu būdu. Pakanka į specialiąją skaičiuoklę įvesti </w:t>
      </w:r>
      <w:r w:rsidR="00FD086A">
        <w:rPr>
          <w:rFonts w:ascii="Times New Roman" w:hAnsi="Times New Roman" w:cs="Times New Roman"/>
          <w:color w:val="000000"/>
          <w:sz w:val="24"/>
          <w:szCs w:val="24"/>
          <w:lang w:val="lt-LT"/>
        </w:rPr>
        <w:t>tik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medyno </w:t>
      </w:r>
      <w:r w:rsidR="00FD086A">
        <w:rPr>
          <w:rFonts w:ascii="Times New Roman" w:hAnsi="Times New Roman" w:cs="Times New Roman"/>
          <w:color w:val="000000"/>
          <w:sz w:val="24"/>
          <w:szCs w:val="24"/>
          <w:lang w:val="lt-LT"/>
        </w:rPr>
        <w:t>plotą, vidutinį medžių skersmenį ir vidutinį medžių aukštį.</w:t>
      </w:r>
    </w:p>
    <w:p w:rsidR="00FD086A" w:rsidRDefault="00FD086A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FD086A" w:rsidRDefault="00FD086A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D086A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Pavyzdžiui: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="0074702D">
        <w:rPr>
          <w:rFonts w:ascii="Times New Roman" w:hAnsi="Times New Roman" w:cs="Times New Roman"/>
          <w:color w:val="000000"/>
          <w:sz w:val="24"/>
          <w:szCs w:val="24"/>
          <w:lang w:val="lt-LT"/>
        </w:rPr>
        <w:t>Eglyno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plotas – 0,3 ha,</w:t>
      </w:r>
    </w:p>
    <w:p w:rsidR="00FD086A" w:rsidRDefault="00FD086A" w:rsidP="00FD086A">
      <w:pPr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Vidutinis medžių skersmuo (</w:t>
      </w:r>
      <w:r w:rsidRPr="00FD086A">
        <w:rPr>
          <w:rFonts w:ascii="Times New Roman" w:hAnsi="Times New Roman" w:cs="Times New Roman"/>
          <w:i/>
          <w:color w:val="000000"/>
          <w:sz w:val="28"/>
          <w:szCs w:val="28"/>
          <w:lang w:val="lt-LT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) – 36 cm,</w:t>
      </w:r>
    </w:p>
    <w:p w:rsidR="0074702D" w:rsidRDefault="00FD086A" w:rsidP="00FD086A">
      <w:pPr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Vidutinis medžių aukštis (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lt-LT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)  – 28 m</w:t>
      </w:r>
      <w:r w:rsidR="0074702D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:rsidR="00FD086A" w:rsidRDefault="0074702D" w:rsidP="00FD086A">
      <w:pPr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Medyno tūris – 290 m</w:t>
      </w:r>
      <w:r w:rsidRPr="0074702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/ha</w:t>
      </w:r>
      <w:r w:rsidR="00FD086A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:rsidR="00FD086A" w:rsidRDefault="00FD086A" w:rsidP="00FD086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>Tuomet „</w:t>
      </w:r>
      <w:r w:rsidRPr="00FD086A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Išmanusis miškininkas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 apskaičiuoja medžių skaičių medyne</w:t>
      </w:r>
    </w:p>
    <w:p w:rsidR="00FD086A" w:rsidRDefault="00FD086A" w:rsidP="00FD086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FD086A" w:rsidRDefault="003A4534" w:rsidP="00FD086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A4534">
        <w:rPr>
          <w:rFonts w:ascii="Times New Roman" w:hAnsi="Times New Roman" w:cs="Times New Roman"/>
          <w:noProof/>
          <w:color w:val="000000"/>
          <w:sz w:val="24"/>
          <w:szCs w:val="24"/>
        </w:rPr>
        <w:object w:dxaOrig="2717" w:dyaOrig="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7.55pt;height:38.5pt;mso-width-percent:0;mso-height-percent:0;mso-width-percent:0;mso-height-percent:0" o:ole="">
            <v:imagedata r:id="rId8" o:title=""/>
          </v:shape>
          <o:OLEObject Type="Embed" ProgID="Unknown" ShapeID="_x0000_i1025" DrawAspect="Content" ObjectID="_1834811588" r:id="rId9"/>
        </w:object>
      </w:r>
    </w:p>
    <w:p w:rsidR="00BA59BF" w:rsidRPr="00AA61BB" w:rsidRDefault="00BA59BF" w:rsidP="00AA61B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6441F5" w:rsidRDefault="0074702D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Apskaičiuotas medžių skaičius paskirstomas medžių skersmens klasėmis taikant matematinį modelį:</w:t>
      </w:r>
    </w:p>
    <w:p w:rsidR="0074702D" w:rsidRDefault="0074702D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4702D" w:rsidRPr="0074702D" w:rsidRDefault="0074702D" w:rsidP="0074702D">
      <w:pPr>
        <w:ind w:firstLine="720"/>
        <w:jc w:val="both"/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</w:pPr>
      <w:r w:rsidRPr="0074702D">
        <w:rPr>
          <w:rFonts w:ascii="Times New Roman" w:hAnsi="Times New Roman" w:cs="Times New Roman"/>
          <w:bCs/>
          <w:i/>
          <w:sz w:val="26"/>
          <w:szCs w:val="26"/>
          <w:lang w:val="pt-BR"/>
        </w:rPr>
        <w:t>n</w:t>
      </w:r>
      <w:r w:rsidRPr="0074702D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= </w:t>
      </w:r>
      <w:r w:rsidRPr="0074702D">
        <w:rPr>
          <w:rFonts w:ascii="Times New Roman" w:hAnsi="Times New Roman" w:cs="Times New Roman"/>
          <w:bCs/>
          <w:sz w:val="26"/>
          <w:szCs w:val="26"/>
          <w:lang w:val="lt-LT"/>
        </w:rPr>
        <w:t xml:space="preserve">(-43,6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5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+ 263,62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4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– 578,8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3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+ 546,6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2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- 202,5 *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</m:sSub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+ 26,674) +( ( -269,8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6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+ 1814,139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5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– 4282,77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4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+ 4908,13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3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– 2845,37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2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+ 808,13 *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</m:sSub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- 88,34) – </w:t>
      </w:r>
      <w:r w:rsidRPr="0074702D">
        <w:rPr>
          <w:rFonts w:ascii="Times New Roman" w:hAnsi="Times New Roman" w:cs="Times New Roman"/>
          <w:bCs/>
          <w:sz w:val="26"/>
          <w:szCs w:val="26"/>
          <w:lang w:val="lt-LT"/>
        </w:rPr>
        <w:t xml:space="preserve">(-43,6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5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+ 263,62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4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– 578,8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3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+ 546,6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2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- 202,5 *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sant</m:t>
            </m:r>
          </m:sub>
        </m:sSub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+ 26,674)) * (0,0016 *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  <w:lang w:val="lt-LT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vid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lt-LT"/>
              </w:rPr>
              <m:t>2</m:t>
            </m:r>
          </m:sup>
        </m:sSubSup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 – 0,4 *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  <w:lang w:val="lt-LT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lt-LT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lt-LT"/>
              </w:rPr>
              <m:t>vid</m:t>
            </m:r>
          </m:sub>
        </m:sSub>
      </m:oMath>
      <w:r w:rsidRPr="0074702D">
        <w:rPr>
          <w:rFonts w:ascii="Times New Roman" w:eastAsiaTheme="minorEastAsia" w:hAnsi="Times New Roman" w:cs="Times New Roman"/>
          <w:bCs/>
          <w:sz w:val="26"/>
          <w:szCs w:val="26"/>
          <w:lang w:val="lt-LT"/>
        </w:rPr>
        <w:t xml:space="preserve"> + 0,0593)</w:t>
      </w:r>
    </w:p>
    <w:p w:rsidR="0074702D" w:rsidRDefault="0074702D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4702D" w:rsidRDefault="0074702D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74702D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Išmaniojo miškininko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 naudotojas – miško savininkas gauna galutinį atsakymą koks yra tikėtinas apvaliosios medienos gaminių tūris medyne.</w:t>
      </w:r>
    </w:p>
    <w:p w:rsidR="0074702D" w:rsidRDefault="0074702D" w:rsidP="0063727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Pagal pavyzdyje pateiktus matavimo duomenis medyno tūrio struktūra (m</w:t>
      </w:r>
      <w:r w:rsidRPr="0074702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/sklype) tokia:</w:t>
      </w:r>
    </w:p>
    <w:p w:rsidR="00EA2629" w:rsidRDefault="00EA2629" w:rsidP="00EA262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326"/>
        <w:gridCol w:w="1327"/>
        <w:gridCol w:w="1416"/>
        <w:gridCol w:w="1323"/>
        <w:gridCol w:w="1330"/>
        <w:gridCol w:w="1314"/>
      </w:tblGrid>
      <w:tr w:rsidR="00EA2629" w:rsidTr="00F15AD9">
        <w:tc>
          <w:tcPr>
            <w:tcW w:w="1314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Bendras medyno tūris</w:t>
            </w:r>
          </w:p>
        </w:tc>
        <w:tc>
          <w:tcPr>
            <w:tcW w:w="1326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Pjautinųjų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rąstų tūris</w:t>
            </w:r>
          </w:p>
        </w:tc>
        <w:tc>
          <w:tcPr>
            <w:tcW w:w="1327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Smulkių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pjautinųjų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rąstų  ir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tar</w:t>
            </w:r>
            <w:r w:rsidR="00F15AD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ąsčių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tūris</w:t>
            </w:r>
          </w:p>
        </w:tc>
        <w:tc>
          <w:tcPr>
            <w:tcW w:w="1416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Popierrąsčių</w:t>
            </w:r>
            <w:proofErr w:type="spellEnd"/>
          </w:p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tūris</w:t>
            </w:r>
          </w:p>
        </w:tc>
        <w:tc>
          <w:tcPr>
            <w:tcW w:w="1323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Malkinės medienos tūris</w:t>
            </w:r>
          </w:p>
        </w:tc>
        <w:tc>
          <w:tcPr>
            <w:tcW w:w="1330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Likvidinės medienos tūris</w:t>
            </w:r>
          </w:p>
        </w:tc>
        <w:tc>
          <w:tcPr>
            <w:tcW w:w="1314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Liekanų tūris</w:t>
            </w:r>
          </w:p>
        </w:tc>
      </w:tr>
      <w:tr w:rsidR="00F15AD9" w:rsidTr="00F15AD9">
        <w:trPr>
          <w:trHeight w:val="451"/>
        </w:trPr>
        <w:tc>
          <w:tcPr>
            <w:tcW w:w="1314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88,0</w:t>
            </w:r>
          </w:p>
        </w:tc>
        <w:tc>
          <w:tcPr>
            <w:tcW w:w="1326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52,2</w:t>
            </w:r>
          </w:p>
        </w:tc>
        <w:tc>
          <w:tcPr>
            <w:tcW w:w="1327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20,4</w:t>
            </w:r>
          </w:p>
        </w:tc>
        <w:tc>
          <w:tcPr>
            <w:tcW w:w="1416" w:type="dxa"/>
            <w:vAlign w:val="center"/>
          </w:tcPr>
          <w:p w:rsidR="00EA2629" w:rsidRDefault="00EA262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2,4</w:t>
            </w:r>
          </w:p>
        </w:tc>
        <w:tc>
          <w:tcPr>
            <w:tcW w:w="1323" w:type="dxa"/>
            <w:vAlign w:val="center"/>
          </w:tcPr>
          <w:p w:rsidR="00EA2629" w:rsidRDefault="00F15AD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3,7</w:t>
            </w:r>
          </w:p>
        </w:tc>
        <w:tc>
          <w:tcPr>
            <w:tcW w:w="1330" w:type="dxa"/>
            <w:vAlign w:val="center"/>
          </w:tcPr>
          <w:p w:rsidR="00EA2629" w:rsidRDefault="00F15AD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78,7</w:t>
            </w:r>
          </w:p>
        </w:tc>
        <w:tc>
          <w:tcPr>
            <w:tcW w:w="1314" w:type="dxa"/>
            <w:vAlign w:val="center"/>
          </w:tcPr>
          <w:p w:rsidR="00EA2629" w:rsidRDefault="00F15AD9" w:rsidP="00F15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9,3</w:t>
            </w:r>
          </w:p>
        </w:tc>
      </w:tr>
    </w:tbl>
    <w:p w:rsidR="00EA2629" w:rsidRDefault="00EA2629" w:rsidP="00EA262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00000" w:rsidRPr="00F2571F" w:rsidRDefault="0097192C" w:rsidP="009719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Lietuvos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inžinerijos kolegija vykdo 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Lietuvos žemės ūkio ir kaimo plėtros 2023–2027 metų strateginio plano intervencinės priemonės „</w:t>
      </w:r>
      <w:r w:rsidRPr="00303C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Parodomieji projektai ir informavimo veikla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“ projektą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„</w:t>
      </w:r>
      <w:r w:rsidRPr="00303C6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Miško savininkų kooperacijos skatinimas, rengiant bendrus modernizuotus miškų tvarkymo projektus, laiduojančius ekonomiškai efektyvesnį ir draugišką aplinkai ūkininkavimą miškuose</w:t>
      </w:r>
      <w:r w:rsidRPr="000924C0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 xml:space="preserve">“. 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Projekto 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tikslas</w:t>
      </w:r>
      <w:r w:rsidRPr="00303C6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p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anaudojant skaitmeninę technologiją „</w:t>
      </w:r>
      <w:r w:rsidRPr="00303C6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>Išmanusis miškininkas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“, rengti modernizuotus privačių miško valdų miškotvarkos projektus, 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skatin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ančius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miško savininkus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bei</w:t>
      </w:r>
      <w:r w:rsidRPr="00303C6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miško darbų įmonių darbuotojus taikyti ekonomiškai efektyvesnes ir draugiškas aplinkai bei prisidedančias prie klimato kaitos stabilizavimo medynų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auginimo ir 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naudojimo technologijas. Visa informacija apie </w:t>
      </w:r>
      <w:r w:rsidR="00BD2EA9" w:rsidRPr="00303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„</w:t>
      </w:r>
      <w:r w:rsidR="00BD2EA9" w:rsidRPr="00303C6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>Išman</w:t>
      </w:r>
      <w:r w:rsidR="00BD2EA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>iojo</w:t>
      </w:r>
      <w:r w:rsidR="00BD2EA9" w:rsidRPr="00303C6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 xml:space="preserve"> miškinink</w:t>
      </w:r>
      <w:r w:rsidR="00BD2EA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  <w:t>o</w:t>
      </w:r>
      <w:r w:rsidR="00BD2E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“ skaitmeninės technologijos</w:t>
      </w:r>
      <w:r w:rsidR="00BD2EA9" w:rsidRPr="00303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="00BD2E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naudojimo ypatumus ir 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projekto vykdymo eigą skleidžiama projekto viešinimo renginių metu. Tam organizuojami seminarai, lauko dienos,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dalijimosi ūkininkavimo patirtimi grupių susitikimai, 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publikuojami straipsniai. Informacija apie organizuojamus viešinimo renginius skelbiama bei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Lietuvos</w:t>
      </w:r>
      <w:r w:rsidRPr="000924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inžinerijos kole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gijos tinklalapyje.</w:t>
      </w:r>
    </w:p>
    <w:sectPr w:rsidR="00087219" w:rsidRPr="00F2571F" w:rsidSect="00303C6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67"/>
    <w:rsid w:val="000349F6"/>
    <w:rsid w:val="000777A7"/>
    <w:rsid w:val="000B2789"/>
    <w:rsid w:val="000D5852"/>
    <w:rsid w:val="00166436"/>
    <w:rsid w:val="00202294"/>
    <w:rsid w:val="002F4F9D"/>
    <w:rsid w:val="002F5DFB"/>
    <w:rsid w:val="00303C67"/>
    <w:rsid w:val="003A4534"/>
    <w:rsid w:val="004631E9"/>
    <w:rsid w:val="004966D0"/>
    <w:rsid w:val="004E050E"/>
    <w:rsid w:val="005459BC"/>
    <w:rsid w:val="00572C28"/>
    <w:rsid w:val="00607538"/>
    <w:rsid w:val="00626831"/>
    <w:rsid w:val="00637279"/>
    <w:rsid w:val="006441F5"/>
    <w:rsid w:val="006457D5"/>
    <w:rsid w:val="006C6B0C"/>
    <w:rsid w:val="0074702D"/>
    <w:rsid w:val="0077676B"/>
    <w:rsid w:val="007907CF"/>
    <w:rsid w:val="007A6473"/>
    <w:rsid w:val="007B312B"/>
    <w:rsid w:val="008316D9"/>
    <w:rsid w:val="008C71A8"/>
    <w:rsid w:val="008D613F"/>
    <w:rsid w:val="009255B7"/>
    <w:rsid w:val="00952006"/>
    <w:rsid w:val="0097192C"/>
    <w:rsid w:val="00AA61BB"/>
    <w:rsid w:val="00B1710C"/>
    <w:rsid w:val="00B84DA2"/>
    <w:rsid w:val="00B87158"/>
    <w:rsid w:val="00BA59BF"/>
    <w:rsid w:val="00BD2EA9"/>
    <w:rsid w:val="00D17AA3"/>
    <w:rsid w:val="00D21CB0"/>
    <w:rsid w:val="00D25DDA"/>
    <w:rsid w:val="00DD6761"/>
    <w:rsid w:val="00E110D1"/>
    <w:rsid w:val="00E222D8"/>
    <w:rsid w:val="00E95D79"/>
    <w:rsid w:val="00EA2629"/>
    <w:rsid w:val="00EF524B"/>
    <w:rsid w:val="00F04A6E"/>
    <w:rsid w:val="00F15AD9"/>
    <w:rsid w:val="00F2571F"/>
    <w:rsid w:val="00FD086A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B77CC"/>
  <w15:chartTrackingRefBased/>
  <w15:docId w15:val="{1C32AB14-978B-48C9-AF84-8B985E2C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3C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5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571F"/>
    <w:rPr>
      <w:i/>
      <w:iCs/>
    </w:rPr>
  </w:style>
  <w:style w:type="table" w:styleId="TableGrid">
    <w:name w:val="Table Grid"/>
    <w:basedOn w:val="TableNormal"/>
    <w:uiPriority w:val="39"/>
    <w:rsid w:val="0003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916750168615173"/>
          <c:y val="6.7243646251998371E-2"/>
          <c:w val="0.81144399417211377"/>
          <c:h val="0.77063604715444722"/>
        </c:manualLayout>
      </c:layout>
      <c:pie3DChart>
        <c:varyColors val="1"/>
        <c:ser>
          <c:idx val="0"/>
          <c:order val="0"/>
          <c:explosion val="14"/>
          <c:dPt>
            <c:idx val="0"/>
            <c:bubble3D val="0"/>
            <c:spPr>
              <a:solidFill>
                <a:schemeClr val="accent2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BC-4EF7-B298-1ADEF5E589C9}"/>
              </c:ext>
            </c:extLst>
          </c:dPt>
          <c:dPt>
            <c:idx val="1"/>
            <c:bubble3D val="0"/>
            <c:spPr>
              <a:solidFill>
                <a:srgbClr val="EE864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BC-4EF7-B298-1ADEF5E589C9}"/>
              </c:ext>
            </c:extLst>
          </c:dPt>
          <c:dPt>
            <c:idx val="2"/>
            <c:bubble3D val="0"/>
            <c:spPr>
              <a:solidFill>
                <a:srgbClr val="F4B488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BC-4EF7-B298-1ADEF5E589C9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BC-4EF7-B298-1ADEF5E589C9}"/>
              </c:ext>
            </c:extLst>
          </c:dPt>
          <c:dPt>
            <c:idx val="4"/>
            <c:bubble3D val="0"/>
            <c:spPr>
              <a:solidFill>
                <a:srgbClr val="FF99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BC-4EF7-B298-1ADEF5E589C9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BC-4EF7-B298-1ADEF5E589C9}"/>
              </c:ext>
            </c:extLst>
          </c:dPt>
          <c:dLbls>
            <c:dLbl>
              <c:idx val="0"/>
              <c:layout>
                <c:manualLayout>
                  <c:x val="1.9698366819264384E-2"/>
                  <c:y val="-6.9675376088677757E-2"/>
                </c:manualLayout>
              </c:layout>
              <c:tx>
                <c:rich>
                  <a:bodyPr/>
                  <a:lstStyle/>
                  <a:p>
                    <a:fld id="{30D406F6-DCF8-4F30-B65D-621CE1083D6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3BC-4EF7-B298-1ADEF5E589C9}"/>
                </c:ext>
              </c:extLst>
            </c:dLbl>
            <c:dLbl>
              <c:idx val="1"/>
              <c:layout>
                <c:manualLayout>
                  <c:x val="9.5995446159148051E-3"/>
                  <c:y val="-1.4227393550328635E-2"/>
                </c:manualLayout>
              </c:layout>
              <c:tx>
                <c:rich>
                  <a:bodyPr/>
                  <a:lstStyle/>
                  <a:p>
                    <a:fld id="{9E6BC012-0747-48E6-B539-EBFB8BF0B6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BC-4EF7-B298-1ADEF5E589C9}"/>
                </c:ext>
              </c:extLst>
            </c:dLbl>
            <c:dLbl>
              <c:idx val="2"/>
              <c:layout>
                <c:manualLayout>
                  <c:x val="9.9324640548224714E-3"/>
                  <c:y val="-3.7814477012029682E-2"/>
                </c:manualLayout>
              </c:layout>
              <c:tx>
                <c:rich>
                  <a:bodyPr/>
                  <a:lstStyle/>
                  <a:p>
                    <a:fld id="{CB2A8BC2-DCDF-4BA7-93CF-F53A5909903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3BC-4EF7-B298-1ADEF5E589C9}"/>
                </c:ext>
              </c:extLst>
            </c:dLbl>
            <c:dLbl>
              <c:idx val="3"/>
              <c:layout>
                <c:manualLayout>
                  <c:x val="-1.9698366819264384E-2"/>
                  <c:y val="4.750593824228028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300" b="1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PP</a:t>
                    </a:r>
                  </a:p>
                  <a:p>
                    <a:pPr>
                      <a:defRPr sz="13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16%</a:t>
                    </a:r>
                    <a:endParaRPr lang="en-US"/>
                  </a:p>
                </c:rich>
              </c:tx>
              <c:spPr>
                <a:solidFill>
                  <a:srgbClr val="FFC000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7-E3BC-4EF7-B298-1ADEF5E589C9}"/>
                </c:ext>
              </c:extLst>
            </c:dLbl>
            <c:dLbl>
              <c:idx val="4"/>
              <c:layout>
                <c:manualLayout>
                  <c:x val="-2.2160662671672434E-2"/>
                  <c:y val="-6.65083135391923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BC-4EF7-B298-1ADEF5E589C9}"/>
                </c:ext>
              </c:extLst>
            </c:dLbl>
            <c:dLbl>
              <c:idx val="5"/>
              <c:layout>
                <c:manualLayout>
                  <c:x val="2.2160662671672431E-2"/>
                  <c:y val="-3.1670625494853527E-2"/>
                </c:manualLayout>
              </c:layout>
              <c:tx>
                <c:rich>
                  <a:bodyPr/>
                  <a:lstStyle/>
                  <a:p>
                    <a:fld id="{56EB84AD-599F-4FBF-A503-62EC55938C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BC-4EF7-B298-1ADEF5E589C9}"/>
                </c:ext>
              </c:extLst>
            </c:dLbl>
            <c:spPr>
              <a:solidFill>
                <a:srgbClr val="FFC000">
                  <a:lumMod val="20000"/>
                  <a:lumOff val="80000"/>
                </a:srgb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L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Lapas1!$B$38:$B$43</c:f>
              <c:strCache>
                <c:ptCount val="6"/>
                <c:pt idx="0">
                  <c:v>PJ</c:v>
                </c:pt>
                <c:pt idx="1">
                  <c:v>PJS</c:v>
                </c:pt>
                <c:pt idx="2">
                  <c:v>TR</c:v>
                </c:pt>
                <c:pt idx="3">
                  <c:v>PP</c:v>
                </c:pt>
                <c:pt idx="4">
                  <c:v>PM</c:v>
                </c:pt>
                <c:pt idx="5">
                  <c:v>ML</c:v>
                </c:pt>
              </c:strCache>
            </c:strRef>
          </c:cat>
          <c:val>
            <c:numRef>
              <c:f>Lapas1!$C$38:$C$43</c:f>
              <c:numCache>
                <c:formatCode>General</c:formatCode>
                <c:ptCount val="6"/>
                <c:pt idx="0">
                  <c:v>28.588301993763579</c:v>
                </c:pt>
                <c:pt idx="1">
                  <c:v>4.263774866461751</c:v>
                </c:pt>
                <c:pt idx="2">
                  <c:v>19.813685655685312</c:v>
                </c:pt>
                <c:pt idx="3">
                  <c:v>15.355648070434828</c:v>
                </c:pt>
                <c:pt idx="4">
                  <c:v>14.998804964676982</c:v>
                </c:pt>
                <c:pt idx="5">
                  <c:v>16.978950703403349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3BC-4EF7-B298-1ADEF5E58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CF3"/>
    </a:solidFill>
    <a:ln w="12700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Sinilga Černulienė</cp:lastModifiedBy>
  <cp:revision>6</cp:revision>
  <dcterms:created xsi:type="dcterms:W3CDTF">2026-03-11T14:52:00Z</dcterms:created>
  <dcterms:modified xsi:type="dcterms:W3CDTF">2026-03-12T07:07:00Z</dcterms:modified>
</cp:coreProperties>
</file>